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464257" w:rsidTr="00464257">
        <w:tc>
          <w:tcPr>
            <w:tcW w:w="4472" w:type="dxa"/>
          </w:tcPr>
          <w:p w:rsidR="00464257" w:rsidRDefault="00464257" w:rsidP="0046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64257" w:rsidRDefault="00464257" w:rsidP="004642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464257" w:rsidRDefault="00464257" w:rsidP="0046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муниципального образования</w:t>
            </w:r>
          </w:p>
          <w:p w:rsidR="00464257" w:rsidRDefault="00464257" w:rsidP="0046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Саяногорск</w:t>
            </w:r>
          </w:p>
          <w:p w:rsidR="00464257" w:rsidRDefault="00464257" w:rsidP="0046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___________________Е.Г. Ряшенцева</w:t>
            </w:r>
          </w:p>
          <w:p w:rsidR="00464257" w:rsidRPr="00464257" w:rsidRDefault="00464257" w:rsidP="004642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«____»___________________2019 год</w:t>
            </w:r>
          </w:p>
        </w:tc>
      </w:tr>
    </w:tbl>
    <w:p w:rsidR="00464257" w:rsidRDefault="00464257" w:rsidP="004642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25B" w:rsidRDefault="0018025B" w:rsidP="004642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3C95" w:rsidRDefault="00403C0E" w:rsidP="00503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  <w:r w:rsidR="003C6536">
        <w:rPr>
          <w:rFonts w:ascii="Times New Roman" w:hAnsi="Times New Roman" w:cs="Times New Roman"/>
          <w:b/>
          <w:sz w:val="26"/>
          <w:szCs w:val="26"/>
        </w:rPr>
        <w:t>рисков</w:t>
      </w:r>
      <w:r w:rsidR="00503C95" w:rsidRPr="00503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3C95" w:rsidRPr="00503C95" w:rsidRDefault="003C6536" w:rsidP="00503C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нарушения</w:t>
      </w:r>
      <w:r w:rsidR="00503C95" w:rsidRPr="00503C95">
        <w:rPr>
          <w:rFonts w:ascii="Times New Roman" w:hAnsi="Times New Roman" w:cs="Times New Roman"/>
          <w:b/>
          <w:sz w:val="26"/>
          <w:szCs w:val="26"/>
        </w:rPr>
        <w:t xml:space="preserve"> антимонопольного законодательства </w:t>
      </w:r>
      <w:r w:rsidR="00503C95" w:rsidRPr="00503C95">
        <w:rPr>
          <w:rFonts w:ascii="Times New Roman" w:hAnsi="Times New Roman"/>
          <w:b/>
          <w:sz w:val="26"/>
          <w:szCs w:val="26"/>
        </w:rPr>
        <w:t xml:space="preserve">Администрации муниципального образования 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3C95">
        <w:rPr>
          <w:rFonts w:ascii="Times New Roman" w:hAnsi="Times New Roman"/>
          <w:b/>
          <w:sz w:val="26"/>
          <w:szCs w:val="26"/>
        </w:rPr>
        <w:t>город Саяногорск, органов Администрации муниципального образования город Саяногорск</w:t>
      </w:r>
    </w:p>
    <w:p w:rsidR="003C6536" w:rsidRDefault="003C6536" w:rsidP="00503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2728"/>
        <w:gridCol w:w="4252"/>
        <w:gridCol w:w="4253"/>
        <w:gridCol w:w="2055"/>
        <w:gridCol w:w="2056"/>
      </w:tblGrid>
      <w:tr w:rsidR="00201ED6" w:rsidTr="00E3176E">
        <w:tc>
          <w:tcPr>
            <w:tcW w:w="533" w:type="dxa"/>
          </w:tcPr>
          <w:p w:rsidR="00201ED6" w:rsidRPr="00C94B67" w:rsidRDefault="00201ED6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4B6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4B6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28" w:type="dxa"/>
          </w:tcPr>
          <w:p w:rsidR="00201ED6" w:rsidRPr="00C94B67" w:rsidRDefault="00201ED6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Выявленные риски</w:t>
            </w:r>
          </w:p>
        </w:tc>
        <w:tc>
          <w:tcPr>
            <w:tcW w:w="4252" w:type="dxa"/>
          </w:tcPr>
          <w:p w:rsidR="00201ED6" w:rsidRPr="00C94B67" w:rsidRDefault="00201ED6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Описание риска</w:t>
            </w:r>
          </w:p>
        </w:tc>
        <w:tc>
          <w:tcPr>
            <w:tcW w:w="4253" w:type="dxa"/>
          </w:tcPr>
          <w:p w:rsidR="00201ED6" w:rsidRPr="00C94B67" w:rsidRDefault="00201ED6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Причины возникновения</w:t>
            </w:r>
          </w:p>
        </w:tc>
        <w:tc>
          <w:tcPr>
            <w:tcW w:w="2055" w:type="dxa"/>
          </w:tcPr>
          <w:p w:rsidR="00201ED6" w:rsidRPr="00C94B67" w:rsidRDefault="00201ED6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2056" w:type="dxa"/>
          </w:tcPr>
          <w:p w:rsidR="00201ED6" w:rsidRPr="00C94B67" w:rsidRDefault="00201ED6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8C2B73" w:rsidTr="00E3176E">
        <w:tc>
          <w:tcPr>
            <w:tcW w:w="533" w:type="dxa"/>
          </w:tcPr>
          <w:p w:rsidR="008C2B73" w:rsidRPr="00C94B67" w:rsidRDefault="008C2B73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28" w:type="dxa"/>
          </w:tcPr>
          <w:p w:rsidR="008C2B73" w:rsidRPr="00C94B67" w:rsidRDefault="008C2B73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2" w:type="dxa"/>
          </w:tcPr>
          <w:p w:rsidR="008C2B73" w:rsidRPr="00C94B67" w:rsidRDefault="008C2B73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8C2B73" w:rsidRPr="00C94B67" w:rsidRDefault="008C2B73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55" w:type="dxa"/>
          </w:tcPr>
          <w:p w:rsidR="008C2B73" w:rsidRPr="00C94B67" w:rsidRDefault="008C2B73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56" w:type="dxa"/>
          </w:tcPr>
          <w:p w:rsidR="008C2B73" w:rsidRPr="00C94B67" w:rsidRDefault="008C2B73" w:rsidP="00E54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6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64257" w:rsidTr="00E3176E">
        <w:tc>
          <w:tcPr>
            <w:tcW w:w="533" w:type="dxa"/>
          </w:tcPr>
          <w:p w:rsidR="00464257" w:rsidRPr="00C94B67" w:rsidRDefault="00464257" w:rsidP="00464257">
            <w:pPr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464257" w:rsidRPr="00C94B67" w:rsidRDefault="00464257" w:rsidP="0095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муниципальных нужд путем утверждения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 повлекшее нарушение антимонопольного законодательства.</w:t>
            </w:r>
          </w:p>
          <w:p w:rsidR="00464257" w:rsidRPr="00C94B67" w:rsidRDefault="00464257" w:rsidP="00F8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16208" w:rsidRPr="00C94B67" w:rsidRDefault="00416208" w:rsidP="0041620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 xml:space="preserve">Необоснованное ограничение допуска </w:t>
            </w:r>
            <w:r w:rsidRPr="00C94B67">
              <w:rPr>
                <w:rFonts w:ascii="Times New Roman" w:hAnsi="Times New Roman" w:cs="Times New Roman"/>
              </w:rPr>
              <w:t xml:space="preserve">к торгам участников закупки. </w:t>
            </w:r>
            <w:r w:rsidRPr="00C94B67">
              <w:rPr>
                <w:rFonts w:ascii="Times New Roman" w:hAnsi="Times New Roman" w:cs="Times New Roman"/>
              </w:rPr>
              <w:t>«Дробление» закупок с целью заключения контракта с единственным поставщиком, уход от конкурентных спо</w:t>
            </w:r>
            <w:r w:rsidRPr="00C94B67">
              <w:rPr>
                <w:rFonts w:ascii="Times New Roman" w:hAnsi="Times New Roman" w:cs="Times New Roman"/>
              </w:rPr>
              <w:t xml:space="preserve">собов определения поставщика. </w:t>
            </w:r>
            <w:r w:rsidRPr="00C94B67">
              <w:rPr>
                <w:rFonts w:ascii="Times New Roman" w:hAnsi="Times New Roman" w:cs="Times New Roman"/>
              </w:rPr>
              <w:t>Включение в документацию неправомерных и избыточных сведений к участникам и закупаемым товарам, работам, услугам; сжатых сроков, реализация которых</w:t>
            </w:r>
            <w:r w:rsidRPr="00C94B67">
              <w:rPr>
                <w:rFonts w:ascii="Times New Roman" w:hAnsi="Times New Roman" w:cs="Times New Roman"/>
              </w:rPr>
              <w:t xml:space="preserve"> не представляется возможной. </w:t>
            </w:r>
            <w:r w:rsidRPr="00C94B67">
              <w:rPr>
                <w:rFonts w:ascii="Times New Roman" w:hAnsi="Times New Roman" w:cs="Times New Roman"/>
              </w:rPr>
              <w:t xml:space="preserve">Нарушение при определении начальной </w:t>
            </w:r>
            <w:r w:rsidRPr="00C94B67">
              <w:rPr>
                <w:rFonts w:ascii="Times New Roman" w:hAnsi="Times New Roman" w:cs="Times New Roman"/>
              </w:rPr>
              <w:t xml:space="preserve">максимальной цены контракта. </w:t>
            </w:r>
            <w:r w:rsidRPr="00C94B67">
              <w:rPr>
                <w:rFonts w:ascii="Times New Roman" w:hAnsi="Times New Roman" w:cs="Times New Roman"/>
              </w:rPr>
              <w:t>Координация деятельности участник</w:t>
            </w:r>
            <w:r w:rsidRPr="00C94B67">
              <w:rPr>
                <w:rFonts w:ascii="Times New Roman" w:hAnsi="Times New Roman" w:cs="Times New Roman"/>
              </w:rPr>
              <w:t xml:space="preserve">ов торгов, сговор на торгах. </w:t>
            </w:r>
            <w:r w:rsidRPr="00C94B67">
              <w:rPr>
                <w:rFonts w:ascii="Times New Roman" w:hAnsi="Times New Roman" w:cs="Times New Roman"/>
              </w:rPr>
              <w:t>Принятие решения, нарушающего единообразие практики.</w:t>
            </w:r>
            <w:r w:rsidRPr="00C94B67">
              <w:rPr>
                <w:rFonts w:ascii="Times New Roman" w:hAnsi="Times New Roman" w:cs="Times New Roman"/>
              </w:rPr>
              <w:t xml:space="preserve"> </w:t>
            </w:r>
            <w:r w:rsidRPr="00C94B67">
              <w:rPr>
                <w:rFonts w:ascii="Times New Roman" w:hAnsi="Times New Roman" w:cs="Times New Roman"/>
              </w:rPr>
              <w:t>Предоставление преимущественных</w:t>
            </w:r>
            <w:r w:rsidRPr="00C94B67">
              <w:rPr>
                <w:rFonts w:ascii="Times New Roman" w:hAnsi="Times New Roman" w:cs="Times New Roman"/>
              </w:rPr>
              <w:t xml:space="preserve"> </w:t>
            </w:r>
            <w:r w:rsidRPr="00C94B67">
              <w:rPr>
                <w:rFonts w:ascii="Times New Roman" w:hAnsi="Times New Roman" w:cs="Times New Roman"/>
              </w:rPr>
              <w:t>условий отд</w:t>
            </w:r>
            <w:r w:rsidRPr="00C94B67">
              <w:rPr>
                <w:rFonts w:ascii="Times New Roman" w:hAnsi="Times New Roman" w:cs="Times New Roman"/>
              </w:rPr>
              <w:t xml:space="preserve">ельным хозяйствующим субъектам. </w:t>
            </w:r>
            <w:r w:rsidRPr="00C94B67">
              <w:rPr>
                <w:rFonts w:ascii="Times New Roman" w:hAnsi="Times New Roman" w:cs="Times New Roman"/>
              </w:rPr>
              <w:t>Несоблюдение порядка проведения установленных процедур.</w:t>
            </w:r>
          </w:p>
        </w:tc>
        <w:tc>
          <w:tcPr>
            <w:tcW w:w="4253" w:type="dxa"/>
          </w:tcPr>
          <w:p w:rsidR="00464257" w:rsidRPr="00C94B67" w:rsidRDefault="00464257" w:rsidP="00F76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Отсутствие четкого правового регулирования, отсутствие единой судебной практики.</w:t>
            </w:r>
            <w:r w:rsidR="00416208" w:rsidRPr="00C94B67">
              <w:rPr>
                <w:rFonts w:ascii="Times New Roman" w:hAnsi="Times New Roman" w:cs="Times New Roman"/>
              </w:rPr>
              <w:t xml:space="preserve"> </w:t>
            </w:r>
            <w:r w:rsidRPr="00C94B67">
              <w:rPr>
                <w:rFonts w:ascii="Times New Roman" w:hAnsi="Times New Roman" w:cs="Times New Roman"/>
              </w:rPr>
              <w:t>Многократное изменение законодательства о контрактной системе, необходимо</w:t>
            </w:r>
            <w:r w:rsidR="00E3176E" w:rsidRPr="00C94B67">
              <w:rPr>
                <w:rFonts w:ascii="Times New Roman" w:hAnsi="Times New Roman" w:cs="Times New Roman"/>
              </w:rPr>
              <w:t>сть более частого</w:t>
            </w:r>
            <w:r w:rsidRPr="00C94B67">
              <w:rPr>
                <w:rFonts w:ascii="Times New Roman" w:hAnsi="Times New Roman" w:cs="Times New Roman"/>
              </w:rPr>
              <w:t xml:space="preserve"> повышения квалификации специалистов в сфере закупок.  Высокая загруженность сотрудников.</w:t>
            </w:r>
          </w:p>
        </w:tc>
        <w:tc>
          <w:tcPr>
            <w:tcW w:w="2055" w:type="dxa"/>
          </w:tcPr>
          <w:p w:rsidR="00464257" w:rsidRPr="00C94B67" w:rsidRDefault="00464257" w:rsidP="00F76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6" w:type="dxa"/>
          </w:tcPr>
          <w:p w:rsidR="00464257" w:rsidRPr="00C94B67" w:rsidRDefault="00416208" w:rsidP="0041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Очень вероятно</w:t>
            </w:r>
          </w:p>
        </w:tc>
      </w:tr>
      <w:tr w:rsidR="001C4B09" w:rsidTr="00E3176E">
        <w:tc>
          <w:tcPr>
            <w:tcW w:w="533" w:type="dxa"/>
          </w:tcPr>
          <w:p w:rsidR="001C4B09" w:rsidRPr="00C94B67" w:rsidRDefault="00416208" w:rsidP="00E54C2F">
            <w:pPr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8" w:type="dxa"/>
          </w:tcPr>
          <w:p w:rsidR="001C4B09" w:rsidRPr="00C94B67" w:rsidRDefault="001C4B09" w:rsidP="0041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/>
              </w:rPr>
              <w:t>Нарушение антимонопольного законодательства при заключении договоров аренды, договоров безвозмездного пользования, договоров доверительного управления, иных договоров, предусматривающих переход прав в отношении муниципального имущества  и земельных участков.</w:t>
            </w:r>
          </w:p>
        </w:tc>
        <w:tc>
          <w:tcPr>
            <w:tcW w:w="4252" w:type="dxa"/>
          </w:tcPr>
          <w:p w:rsidR="001C4B09" w:rsidRPr="00C94B67" w:rsidRDefault="00E3176E" w:rsidP="0041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4B67">
              <w:rPr>
                <w:rFonts w:ascii="Times New Roman" w:hAnsi="Times New Roman"/>
              </w:rPr>
              <w:t>Заключение договоров аренды, договоров безвозмездного пользования, договоров доверительного управления имущества, земельных участков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ущемлении интересов хозяйствующих субъектов, желающих получить такие права на муниципальное имущество, нарушение конкурентных принципов предоставления во владение и (или) пользование</w:t>
            </w:r>
            <w:r w:rsidRPr="00C94B67">
              <w:rPr>
                <w:rFonts w:ascii="Times New Roman" w:hAnsi="Times New Roman"/>
              </w:rPr>
              <w:t xml:space="preserve"> муниципальной собственности.</w:t>
            </w:r>
            <w:proofErr w:type="gramEnd"/>
            <w:r w:rsidRPr="00C94B67">
              <w:rPr>
                <w:rFonts w:ascii="Times New Roman" w:hAnsi="Times New Roman"/>
              </w:rPr>
              <w:t xml:space="preserve"> </w:t>
            </w:r>
            <w:r w:rsidRPr="00C94B67">
              <w:rPr>
                <w:rFonts w:ascii="Times New Roman" w:hAnsi="Times New Roman"/>
              </w:rPr>
              <w:t xml:space="preserve">Утверждение конкурсной, аукционной документации с нарушением требований к предмету и участникам торгов, влекущее за собой ограничение </w:t>
            </w:r>
            <w:r w:rsidRPr="00C94B67">
              <w:rPr>
                <w:rFonts w:ascii="Times New Roman" w:hAnsi="Times New Roman"/>
              </w:rPr>
              <w:t xml:space="preserve">количества участников торгов. </w:t>
            </w:r>
            <w:r w:rsidRPr="00C94B67">
              <w:rPr>
                <w:rFonts w:ascii="Times New Roman" w:hAnsi="Times New Roman"/>
              </w:rPr>
              <w:t>Нарушения установленных требований при приватизации</w:t>
            </w:r>
            <w:r w:rsidRPr="00C94B67">
              <w:rPr>
                <w:rFonts w:ascii="Times New Roman" w:hAnsi="Times New Roman"/>
              </w:rPr>
              <w:t xml:space="preserve"> </w:t>
            </w:r>
            <w:r w:rsidRPr="00C94B67">
              <w:rPr>
                <w:rFonts w:ascii="Times New Roman" w:hAnsi="Times New Roman"/>
              </w:rPr>
              <w:t>муниципального имущества, влекущее за собой возникновение препятствий в развитии конкуренции, ущемлении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имущества.</w:t>
            </w:r>
          </w:p>
        </w:tc>
        <w:tc>
          <w:tcPr>
            <w:tcW w:w="4253" w:type="dxa"/>
          </w:tcPr>
          <w:p w:rsidR="00E3176E" w:rsidRPr="00C94B67" w:rsidRDefault="001C4B09" w:rsidP="00416208">
            <w:pPr>
              <w:jc w:val="both"/>
              <w:rPr>
                <w:rFonts w:ascii="Times New Roman" w:hAnsi="Times New Roman"/>
              </w:rPr>
            </w:pPr>
            <w:r w:rsidRPr="00C94B67">
              <w:rPr>
                <w:rFonts w:ascii="Times New Roman" w:hAnsi="Times New Roman"/>
              </w:rPr>
              <w:t>Отсутствие единой судебной практики</w:t>
            </w:r>
            <w:r w:rsidR="00416208" w:rsidRPr="00C94B67">
              <w:rPr>
                <w:rFonts w:ascii="Times New Roman" w:hAnsi="Times New Roman"/>
              </w:rPr>
              <w:t>. О</w:t>
            </w:r>
            <w:r w:rsidRPr="00C94B67">
              <w:rPr>
                <w:rFonts w:ascii="Times New Roman" w:hAnsi="Times New Roman"/>
              </w:rPr>
              <w:t>тсутствие единого мнения  членов комиссии</w:t>
            </w:r>
            <w:r w:rsidR="00E3176E" w:rsidRPr="00C94B67">
              <w:rPr>
                <w:rFonts w:ascii="Times New Roman" w:hAnsi="Times New Roman"/>
              </w:rPr>
              <w:t>.</w:t>
            </w:r>
            <w:r w:rsidR="00416208" w:rsidRPr="00C94B67">
              <w:rPr>
                <w:rFonts w:ascii="Times New Roman" w:hAnsi="Times New Roman"/>
              </w:rPr>
              <w:t xml:space="preserve"> </w:t>
            </w:r>
            <w:r w:rsidR="00E3176E" w:rsidRPr="00C94B67">
              <w:rPr>
                <w:rFonts w:ascii="Times New Roman" w:hAnsi="Times New Roman"/>
              </w:rPr>
              <w:t>Непринятие мер по исключению кон</w:t>
            </w:r>
            <w:r w:rsidR="00E3176E" w:rsidRPr="00C94B67">
              <w:rPr>
                <w:rFonts w:ascii="Times New Roman" w:hAnsi="Times New Roman"/>
              </w:rPr>
              <w:t xml:space="preserve">фликта интересов. </w:t>
            </w:r>
            <w:r w:rsidR="00E3176E" w:rsidRPr="00C94B67">
              <w:rPr>
                <w:rFonts w:ascii="Times New Roman" w:hAnsi="Times New Roman"/>
              </w:rPr>
              <w:t>Недостаточный уровень внутреннего контроля.</w:t>
            </w:r>
          </w:p>
        </w:tc>
        <w:tc>
          <w:tcPr>
            <w:tcW w:w="2055" w:type="dxa"/>
          </w:tcPr>
          <w:p w:rsidR="001C4B09" w:rsidRPr="00C94B67" w:rsidRDefault="001C4B09" w:rsidP="00F8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6" w:type="dxa"/>
          </w:tcPr>
          <w:p w:rsidR="001C4B09" w:rsidRPr="00C94B67" w:rsidRDefault="001C4B09" w:rsidP="00F8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416208" w:rsidTr="00E3176E">
        <w:tc>
          <w:tcPr>
            <w:tcW w:w="533" w:type="dxa"/>
          </w:tcPr>
          <w:p w:rsidR="00416208" w:rsidRPr="00C94B67" w:rsidRDefault="00416208" w:rsidP="00E54C2F">
            <w:pPr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</w:tcPr>
          <w:p w:rsidR="00416208" w:rsidRPr="00C94B67" w:rsidRDefault="00416208" w:rsidP="0041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/>
              </w:rPr>
              <w:t>Принятие муниципальных нормативно-правовых актов, которые могут привести к недопущению, ограничению, устранению конкуренции.</w:t>
            </w:r>
          </w:p>
        </w:tc>
        <w:tc>
          <w:tcPr>
            <w:tcW w:w="4252" w:type="dxa"/>
          </w:tcPr>
          <w:p w:rsidR="00416208" w:rsidRPr="00C94B67" w:rsidRDefault="00416208" w:rsidP="0041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/>
              </w:rPr>
              <w:t xml:space="preserve">Ограничение конкуренции при разработке и принятии муниципальных нормативных правовых актов, в том числе вследствие разработки механизмов и инструментов поддержки субъектов инвестиционной и предпринимательской деятельности, не соответствующих законодательству, а также содержащих положения, влекущие </w:t>
            </w:r>
            <w:r w:rsidRPr="00C94B67">
              <w:rPr>
                <w:rFonts w:ascii="Times New Roman" w:hAnsi="Times New Roman"/>
              </w:rPr>
              <w:lastRenderedPageBreak/>
              <w:t>другие нарушения антимо</w:t>
            </w:r>
            <w:r w:rsidRPr="00C94B67">
              <w:rPr>
                <w:rFonts w:ascii="Times New Roman" w:hAnsi="Times New Roman"/>
              </w:rPr>
              <w:t xml:space="preserve">нопольного законодательства. </w:t>
            </w:r>
            <w:r w:rsidRPr="00C94B67">
              <w:rPr>
                <w:rFonts w:ascii="Times New Roman" w:hAnsi="Times New Roman"/>
              </w:rPr>
              <w:t>Несвоевременное приведение в соответствие с действующим законодательством нормативно</w:t>
            </w:r>
            <w:r w:rsidRPr="00C94B67">
              <w:rPr>
                <w:rFonts w:ascii="Times New Roman" w:hAnsi="Times New Roman"/>
              </w:rPr>
              <w:t>-</w:t>
            </w:r>
            <w:r w:rsidRPr="00C94B67">
              <w:rPr>
                <w:rFonts w:ascii="Times New Roman" w:hAnsi="Times New Roman"/>
              </w:rPr>
              <w:t>правовых актов в установленной сфере деятельности.</w:t>
            </w:r>
          </w:p>
        </w:tc>
        <w:tc>
          <w:tcPr>
            <w:tcW w:w="4253" w:type="dxa"/>
          </w:tcPr>
          <w:p w:rsidR="00416208" w:rsidRPr="00C94B67" w:rsidRDefault="00416208" w:rsidP="00416208">
            <w:pPr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/>
              </w:rPr>
              <w:lastRenderedPageBreak/>
              <w:t>Недостаточное знание дейс</w:t>
            </w:r>
            <w:r w:rsidRPr="00C94B67">
              <w:rPr>
                <w:rFonts w:ascii="Times New Roman" w:hAnsi="Times New Roman"/>
              </w:rPr>
              <w:t xml:space="preserve">твующего законодательства РФ. </w:t>
            </w:r>
            <w:r w:rsidRPr="00C94B67">
              <w:rPr>
                <w:rFonts w:ascii="Times New Roman" w:hAnsi="Times New Roman"/>
              </w:rPr>
              <w:t>Несвоевременное отслеживание изменений дейс</w:t>
            </w:r>
            <w:r w:rsidRPr="00C94B67">
              <w:rPr>
                <w:rFonts w:ascii="Times New Roman" w:hAnsi="Times New Roman"/>
              </w:rPr>
              <w:t xml:space="preserve">твующего законодательства РФ. </w:t>
            </w:r>
            <w:r w:rsidRPr="00C94B67">
              <w:rPr>
                <w:rFonts w:ascii="Times New Roman" w:hAnsi="Times New Roman"/>
              </w:rPr>
              <w:t>Недостаточный уровень внутреннего контроля. 4.Недостаточная координация процесса со стороны руководителей структурных под</w:t>
            </w:r>
            <w:r w:rsidRPr="00C94B67">
              <w:rPr>
                <w:rFonts w:ascii="Times New Roman" w:hAnsi="Times New Roman"/>
              </w:rPr>
              <w:t xml:space="preserve">разделений Администрации </w:t>
            </w:r>
            <w:r w:rsidRPr="00C94B67">
              <w:rPr>
                <w:rFonts w:ascii="Times New Roman" w:hAnsi="Times New Roman"/>
              </w:rPr>
              <w:lastRenderedPageBreak/>
              <w:t xml:space="preserve">муниципального образования город Саяногорск. </w:t>
            </w:r>
            <w:r w:rsidRPr="00C94B67">
              <w:rPr>
                <w:rFonts w:ascii="Times New Roman" w:hAnsi="Times New Roman"/>
              </w:rPr>
              <w:t>Некачественное проведение правовой экспертизы и оценки регулирующего воздействия (в случае необходимости) нормативных правовых актов. Отсутствие достаточной квалификации и опыта сотрудников – разработчиков</w:t>
            </w:r>
            <w:r w:rsidRPr="00C94B67">
              <w:t xml:space="preserve"> </w:t>
            </w:r>
            <w:r w:rsidRPr="00C94B67">
              <w:rPr>
                <w:rFonts w:ascii="Times New Roman" w:hAnsi="Times New Roman"/>
              </w:rPr>
              <w:t>правовых актов.</w:t>
            </w:r>
          </w:p>
        </w:tc>
        <w:tc>
          <w:tcPr>
            <w:tcW w:w="2055" w:type="dxa"/>
          </w:tcPr>
          <w:p w:rsidR="00416208" w:rsidRPr="00C94B67" w:rsidRDefault="00416208" w:rsidP="00F8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lastRenderedPageBreak/>
              <w:t>Риск не возникал</w:t>
            </w:r>
          </w:p>
        </w:tc>
        <w:tc>
          <w:tcPr>
            <w:tcW w:w="2056" w:type="dxa"/>
          </w:tcPr>
          <w:p w:rsidR="00416208" w:rsidRPr="00C94B67" w:rsidRDefault="00416208" w:rsidP="00F8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Риск не возникал</w:t>
            </w:r>
          </w:p>
        </w:tc>
      </w:tr>
      <w:tr w:rsidR="00C94B67" w:rsidTr="00E3176E">
        <w:tc>
          <w:tcPr>
            <w:tcW w:w="533" w:type="dxa"/>
          </w:tcPr>
          <w:p w:rsidR="00C94B67" w:rsidRPr="00C94B67" w:rsidRDefault="00C94B67" w:rsidP="00E54C2F">
            <w:pPr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8" w:type="dxa"/>
          </w:tcPr>
          <w:p w:rsidR="00C94B67" w:rsidRPr="00C94B67" w:rsidRDefault="00C94B67" w:rsidP="0041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/>
              </w:rPr>
              <w:t>Нарушение антимонопольного законодательства при  реализации мероприятий по оказанию финансовой, имущественной, консультационной  поддержки субъектам малого и среднего предпринимательства в муниципальном образовании город Саяногорск.</w:t>
            </w:r>
          </w:p>
        </w:tc>
        <w:tc>
          <w:tcPr>
            <w:tcW w:w="4252" w:type="dxa"/>
          </w:tcPr>
          <w:p w:rsidR="00C94B67" w:rsidRPr="00C94B67" w:rsidRDefault="00C94B67" w:rsidP="00C9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/>
              </w:rPr>
              <w:t>Нарушение условий предоставления поддержки в рамках развития субъектов малого и среднего предпринимательства на территории муниципального образования город Саяногорск.</w:t>
            </w:r>
          </w:p>
        </w:tc>
        <w:tc>
          <w:tcPr>
            <w:tcW w:w="4253" w:type="dxa"/>
          </w:tcPr>
          <w:p w:rsidR="00C94B67" w:rsidRPr="00C94B67" w:rsidRDefault="0018025B" w:rsidP="00416208">
            <w:pPr>
              <w:jc w:val="both"/>
              <w:rPr>
                <w:rFonts w:ascii="Times New Roman" w:hAnsi="Times New Roman" w:cs="Times New Roman"/>
              </w:rPr>
            </w:pPr>
            <w:r w:rsidRPr="0018025B">
              <w:rPr>
                <w:rFonts w:ascii="Times New Roman" w:hAnsi="Times New Roman"/>
              </w:rPr>
              <w:t xml:space="preserve">Недостаточный уровень </w:t>
            </w:r>
            <w:r w:rsidRPr="0018025B">
              <w:rPr>
                <w:rFonts w:ascii="Times New Roman" w:hAnsi="Times New Roman"/>
              </w:rPr>
              <w:t xml:space="preserve">внутреннего контроля. </w:t>
            </w:r>
            <w:r w:rsidRPr="0018025B">
              <w:rPr>
                <w:rFonts w:ascii="Times New Roman" w:hAnsi="Times New Roman"/>
              </w:rPr>
              <w:t>Высокая нагрузка на специалистов, не</w:t>
            </w:r>
            <w:r w:rsidRPr="0018025B">
              <w:rPr>
                <w:rFonts w:ascii="Times New Roman" w:hAnsi="Times New Roman"/>
              </w:rPr>
              <w:t xml:space="preserve">достаточная подготовленность. </w:t>
            </w:r>
            <w:r w:rsidRPr="0018025B">
              <w:rPr>
                <w:rFonts w:ascii="Times New Roman" w:hAnsi="Times New Roman"/>
              </w:rPr>
              <w:t>Непринятие мер по исключению конфликта интересов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55" w:type="dxa"/>
          </w:tcPr>
          <w:p w:rsidR="00C94B67" w:rsidRPr="00C94B67" w:rsidRDefault="00C94B67" w:rsidP="00F8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2056" w:type="dxa"/>
          </w:tcPr>
          <w:p w:rsidR="00C94B67" w:rsidRPr="00C94B67" w:rsidRDefault="00C94B67" w:rsidP="00F8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Риск не возникал</w:t>
            </w:r>
          </w:p>
        </w:tc>
      </w:tr>
      <w:tr w:rsidR="00C94B67" w:rsidTr="00E3176E">
        <w:tc>
          <w:tcPr>
            <w:tcW w:w="533" w:type="dxa"/>
          </w:tcPr>
          <w:p w:rsidR="00C94B67" w:rsidRPr="00C94B67" w:rsidRDefault="00C94B67" w:rsidP="00E54C2F">
            <w:pPr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</w:tcPr>
          <w:p w:rsidR="00C94B67" w:rsidRPr="00C94B67" w:rsidRDefault="00C94B67" w:rsidP="0041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/>
              </w:rPr>
              <w:t>Нарушение</w:t>
            </w:r>
            <w:r w:rsidRPr="00C94B67">
              <w:rPr>
                <w:rFonts w:ascii="Times New Roman" w:hAnsi="Times New Roman"/>
              </w:rPr>
              <w:t xml:space="preserve"> антимонопольного законодательства при предоставлении муниципальных услуг</w:t>
            </w:r>
            <w:r w:rsidRPr="00C94B67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C94B67" w:rsidRPr="00C94B67" w:rsidRDefault="00C94B67" w:rsidP="0041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Необоснованное принятие решения об отказе в предоставлении муниципальной услуги при отс</w:t>
            </w:r>
            <w:r w:rsidRPr="00C94B67">
              <w:rPr>
                <w:rFonts w:ascii="Times New Roman" w:hAnsi="Times New Roman" w:cs="Times New Roman"/>
              </w:rPr>
              <w:t>утствии оснований для отказа. П</w:t>
            </w:r>
            <w:r w:rsidRPr="00C94B67">
              <w:rPr>
                <w:rFonts w:ascii="Times New Roman" w:hAnsi="Times New Roman" w:cs="Times New Roman"/>
              </w:rPr>
              <w:t>ринятие решения о предоставлении</w:t>
            </w:r>
            <w:r w:rsidRPr="00C94B67">
              <w:rPr>
                <w:rFonts w:ascii="Times New Roman" w:hAnsi="Times New Roman" w:cs="Times New Roman"/>
              </w:rPr>
              <w:t xml:space="preserve"> </w:t>
            </w:r>
            <w:r w:rsidRPr="00C94B67">
              <w:rPr>
                <w:rFonts w:ascii="Times New Roman" w:hAnsi="Times New Roman" w:cs="Times New Roman"/>
              </w:rPr>
              <w:t>муниципальной услуги при наличии оснований д</w:t>
            </w:r>
            <w:r w:rsidRPr="00C94B67">
              <w:rPr>
                <w:rFonts w:ascii="Times New Roman" w:hAnsi="Times New Roman" w:cs="Times New Roman"/>
              </w:rPr>
              <w:t>ля отказа в её предоставлении. Пр</w:t>
            </w:r>
            <w:r w:rsidRPr="00C94B67">
              <w:rPr>
                <w:rFonts w:ascii="Times New Roman" w:hAnsi="Times New Roman" w:cs="Times New Roman"/>
              </w:rPr>
              <w:t>ин</w:t>
            </w:r>
            <w:r w:rsidRPr="00C94B67">
              <w:rPr>
                <w:rFonts w:ascii="Times New Roman" w:hAnsi="Times New Roman" w:cs="Times New Roman"/>
              </w:rPr>
              <w:t>ятие необоснованных решений. Н</w:t>
            </w:r>
            <w:r w:rsidRPr="00C94B67">
              <w:rPr>
                <w:rFonts w:ascii="Times New Roman" w:hAnsi="Times New Roman" w:cs="Times New Roman"/>
              </w:rPr>
              <w:t>арушение сроков и процедуры предо</w:t>
            </w:r>
            <w:r w:rsidRPr="00C94B67">
              <w:rPr>
                <w:rFonts w:ascii="Times New Roman" w:hAnsi="Times New Roman" w:cs="Times New Roman"/>
              </w:rPr>
              <w:t>ставления муниципальных услуг, у</w:t>
            </w:r>
            <w:r w:rsidRPr="00C94B67">
              <w:rPr>
                <w:rFonts w:ascii="Times New Roman" w:hAnsi="Times New Roman" w:cs="Times New Roman"/>
              </w:rPr>
              <w:t>становленных адм</w:t>
            </w:r>
            <w:r w:rsidRPr="00C94B67">
              <w:rPr>
                <w:rFonts w:ascii="Times New Roman" w:hAnsi="Times New Roman" w:cs="Times New Roman"/>
              </w:rPr>
              <w:t>инистративными регламентами. И</w:t>
            </w:r>
            <w:r w:rsidRPr="00C94B67">
              <w:rPr>
                <w:rFonts w:ascii="Times New Roman" w:hAnsi="Times New Roman" w:cs="Times New Roman"/>
              </w:rPr>
              <w:t>стребование документов от физических и юридических лиц, не пре</w:t>
            </w:r>
            <w:r w:rsidRPr="00C94B67">
              <w:rPr>
                <w:rFonts w:ascii="Times New Roman" w:hAnsi="Times New Roman" w:cs="Times New Roman"/>
              </w:rPr>
              <w:t>дусмотренных нормативными правовыми актами.</w:t>
            </w:r>
          </w:p>
        </w:tc>
        <w:tc>
          <w:tcPr>
            <w:tcW w:w="4253" w:type="dxa"/>
          </w:tcPr>
          <w:p w:rsidR="00C94B67" w:rsidRPr="00C94B67" w:rsidRDefault="00C94B67" w:rsidP="00416208">
            <w:pPr>
              <w:jc w:val="both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Ошибочный анал</w:t>
            </w:r>
            <w:r w:rsidRPr="00C94B67">
              <w:rPr>
                <w:rFonts w:ascii="Times New Roman" w:hAnsi="Times New Roman" w:cs="Times New Roman"/>
              </w:rPr>
              <w:t>из информации (документов). Н</w:t>
            </w:r>
            <w:r w:rsidRPr="00C94B67">
              <w:rPr>
                <w:rFonts w:ascii="Times New Roman" w:hAnsi="Times New Roman" w:cs="Times New Roman"/>
              </w:rPr>
              <w:t>еполная или искажённ</w:t>
            </w:r>
            <w:r w:rsidRPr="00C94B67">
              <w:rPr>
                <w:rFonts w:ascii="Times New Roman" w:hAnsi="Times New Roman" w:cs="Times New Roman"/>
              </w:rPr>
              <w:t>ая информация от заявителя. Т</w:t>
            </w:r>
            <w:r w:rsidRPr="00C94B67">
              <w:rPr>
                <w:rFonts w:ascii="Times New Roman" w:hAnsi="Times New Roman" w:cs="Times New Roman"/>
              </w:rPr>
              <w:t>ехнический сбой при приёме</w:t>
            </w:r>
            <w:r w:rsidRPr="00C94B67">
              <w:rPr>
                <w:rFonts w:ascii="Times New Roman" w:hAnsi="Times New Roman" w:cs="Times New Roman"/>
              </w:rPr>
              <w:t xml:space="preserve"> </w:t>
            </w:r>
            <w:r w:rsidRPr="00C94B67">
              <w:rPr>
                <w:rFonts w:ascii="Times New Roman" w:hAnsi="Times New Roman" w:cs="Times New Roman"/>
              </w:rPr>
              <w:t>до</w:t>
            </w:r>
            <w:r w:rsidRPr="00C94B67">
              <w:rPr>
                <w:rFonts w:ascii="Times New Roman" w:hAnsi="Times New Roman" w:cs="Times New Roman"/>
              </w:rPr>
              <w:t>кументов в электронном виде. Н</w:t>
            </w:r>
            <w:r w:rsidRPr="00C94B67">
              <w:rPr>
                <w:rFonts w:ascii="Times New Roman" w:hAnsi="Times New Roman" w:cs="Times New Roman"/>
              </w:rPr>
              <w:t>есоблюдение установленных порядков оказания муници</w:t>
            </w:r>
            <w:r w:rsidRPr="00C94B67">
              <w:rPr>
                <w:rFonts w:ascii="Times New Roman" w:hAnsi="Times New Roman" w:cs="Times New Roman"/>
              </w:rPr>
              <w:t>пальных услуг. В</w:t>
            </w:r>
            <w:r w:rsidRPr="00C94B67">
              <w:rPr>
                <w:rFonts w:ascii="Times New Roman" w:hAnsi="Times New Roman" w:cs="Times New Roman"/>
              </w:rPr>
              <w:t>ысок</w:t>
            </w:r>
            <w:r w:rsidRPr="00C94B67">
              <w:rPr>
                <w:rFonts w:ascii="Times New Roman" w:hAnsi="Times New Roman" w:cs="Times New Roman"/>
              </w:rPr>
              <w:t>ая нагрузка на специалистов. Н</w:t>
            </w:r>
            <w:r w:rsidRPr="00C94B67">
              <w:rPr>
                <w:rFonts w:ascii="Times New Roman" w:hAnsi="Times New Roman" w:cs="Times New Roman"/>
              </w:rPr>
              <w:t>едостаточный у</w:t>
            </w:r>
            <w:r w:rsidRPr="00C94B67">
              <w:rPr>
                <w:rFonts w:ascii="Times New Roman" w:hAnsi="Times New Roman" w:cs="Times New Roman"/>
              </w:rPr>
              <w:t>ровень внутреннего контроля. О</w:t>
            </w:r>
            <w:r w:rsidRPr="00C94B67">
              <w:rPr>
                <w:rFonts w:ascii="Times New Roman" w:hAnsi="Times New Roman" w:cs="Times New Roman"/>
              </w:rPr>
              <w:t xml:space="preserve">тсутствие мониторинга актуальности административных </w:t>
            </w:r>
            <w:r w:rsidRPr="00C94B67">
              <w:rPr>
                <w:rFonts w:ascii="Times New Roman" w:hAnsi="Times New Roman" w:cs="Times New Roman"/>
              </w:rPr>
              <w:t>регламентов. Н</w:t>
            </w:r>
            <w:r w:rsidRPr="00C94B67">
              <w:rPr>
                <w:rFonts w:ascii="Times New Roman" w:hAnsi="Times New Roman" w:cs="Times New Roman"/>
              </w:rPr>
              <w:t>изкий уровень квалификации сотрудника</w:t>
            </w:r>
          </w:p>
        </w:tc>
        <w:tc>
          <w:tcPr>
            <w:tcW w:w="2055" w:type="dxa"/>
          </w:tcPr>
          <w:p w:rsidR="00C94B67" w:rsidRPr="00C94B67" w:rsidRDefault="00C94B67" w:rsidP="00F76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2056" w:type="dxa"/>
          </w:tcPr>
          <w:p w:rsidR="00C94B67" w:rsidRPr="00C94B67" w:rsidRDefault="00C94B67" w:rsidP="00F76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67">
              <w:rPr>
                <w:rFonts w:ascii="Times New Roman" w:hAnsi="Times New Roman" w:cs="Times New Roman"/>
              </w:rPr>
              <w:t>Риск не возникал</w:t>
            </w:r>
          </w:p>
        </w:tc>
      </w:tr>
    </w:tbl>
    <w:p w:rsidR="009D53DB" w:rsidRDefault="009D53DB" w:rsidP="002233D9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sectPr w:rsidR="009D53DB" w:rsidSect="009D53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6DB"/>
    <w:multiLevelType w:val="hybridMultilevel"/>
    <w:tmpl w:val="67A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F7F"/>
    <w:multiLevelType w:val="hybridMultilevel"/>
    <w:tmpl w:val="939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746"/>
    <w:multiLevelType w:val="hybridMultilevel"/>
    <w:tmpl w:val="C550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F6F"/>
    <w:multiLevelType w:val="hybridMultilevel"/>
    <w:tmpl w:val="939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39E"/>
    <w:multiLevelType w:val="hybridMultilevel"/>
    <w:tmpl w:val="F88A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500A1"/>
    <w:multiLevelType w:val="hybridMultilevel"/>
    <w:tmpl w:val="1F8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51FA3"/>
    <w:multiLevelType w:val="hybridMultilevel"/>
    <w:tmpl w:val="952E9ED2"/>
    <w:lvl w:ilvl="0" w:tplc="23B8D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47263"/>
    <w:multiLevelType w:val="hybridMultilevel"/>
    <w:tmpl w:val="1D8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45"/>
    <w:rsid w:val="00071CFD"/>
    <w:rsid w:val="000765CF"/>
    <w:rsid w:val="000E2E43"/>
    <w:rsid w:val="001720E0"/>
    <w:rsid w:val="0018025B"/>
    <w:rsid w:val="001918D5"/>
    <w:rsid w:val="001C4B09"/>
    <w:rsid w:val="00201ED6"/>
    <w:rsid w:val="002233D9"/>
    <w:rsid w:val="00244A64"/>
    <w:rsid w:val="002704F8"/>
    <w:rsid w:val="003C6536"/>
    <w:rsid w:val="00403C0E"/>
    <w:rsid w:val="00416208"/>
    <w:rsid w:val="00464257"/>
    <w:rsid w:val="00503C95"/>
    <w:rsid w:val="00592745"/>
    <w:rsid w:val="00686551"/>
    <w:rsid w:val="0077547A"/>
    <w:rsid w:val="007B04E4"/>
    <w:rsid w:val="00875EAB"/>
    <w:rsid w:val="00891CEC"/>
    <w:rsid w:val="008C2B73"/>
    <w:rsid w:val="008D517B"/>
    <w:rsid w:val="009562CD"/>
    <w:rsid w:val="009643C4"/>
    <w:rsid w:val="00990E35"/>
    <w:rsid w:val="009D53DB"/>
    <w:rsid w:val="00A36BA4"/>
    <w:rsid w:val="00B823D3"/>
    <w:rsid w:val="00C53B03"/>
    <w:rsid w:val="00C94B67"/>
    <w:rsid w:val="00E3176E"/>
    <w:rsid w:val="00EC1BF5"/>
    <w:rsid w:val="00F26CEF"/>
    <w:rsid w:val="00F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Тычинская Светлана Анатольевна</dc:creator>
  <cp:lastModifiedBy>Тычинская Светлана Анатольевна</cp:lastModifiedBy>
  <cp:revision>20</cp:revision>
  <cp:lastPrinted>2020-02-28T06:09:00Z</cp:lastPrinted>
  <dcterms:created xsi:type="dcterms:W3CDTF">2019-12-27T07:54:00Z</dcterms:created>
  <dcterms:modified xsi:type="dcterms:W3CDTF">2020-02-28T06:09:00Z</dcterms:modified>
</cp:coreProperties>
</file>